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3600A3">
        <w:rPr>
          <w:b/>
          <w:bCs/>
          <w:color w:val="000000" w:themeColor="text1"/>
          <w:sz w:val="28"/>
          <w:szCs w:val="28"/>
        </w:rPr>
        <w:t>Рекомендации родителям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proofErr w:type="gramStart"/>
      <w:r w:rsidRPr="003600A3">
        <w:rPr>
          <w:b/>
          <w:bCs/>
          <w:color w:val="000000" w:themeColor="text1"/>
          <w:sz w:val="28"/>
          <w:szCs w:val="28"/>
        </w:rPr>
        <w:t>первокурсников</w:t>
      </w:r>
      <w:proofErr w:type="gramEnd"/>
      <w:r w:rsidRPr="003600A3">
        <w:rPr>
          <w:b/>
          <w:bCs/>
          <w:color w:val="000000" w:themeColor="text1"/>
          <w:sz w:val="28"/>
          <w:szCs w:val="28"/>
        </w:rPr>
        <w:t>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b/>
          <w:bCs/>
          <w:i/>
          <w:iCs/>
          <w:color w:val="000000" w:themeColor="text1"/>
          <w:sz w:val="28"/>
          <w:szCs w:val="28"/>
        </w:rPr>
        <w:t>Психологическая поддержка студента.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При недостатке или отсутствии адекватной поддержки </w:t>
      </w:r>
      <w:hyperlink r:id="rId4" w:history="1">
        <w:r w:rsidRPr="003600A3">
          <w:rPr>
            <w:rStyle w:val="a4"/>
            <w:color w:val="000000" w:themeColor="text1"/>
            <w:sz w:val="28"/>
            <w:szCs w:val="28"/>
            <w:u w:val="none"/>
          </w:rPr>
          <w:t>ребенок</w:t>
        </w:r>
      </w:hyperlink>
      <w:r w:rsidRPr="003600A3">
        <w:rPr>
          <w:color w:val="000000" w:themeColor="text1"/>
          <w:sz w:val="28"/>
          <w:szCs w:val="28"/>
        </w:rPr>
        <w:t> испытывает разочарование и склонен к различным проступкам.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Психологическая поддержка – это процесс: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- в котором взрослый сосредотачивается на позитивных сторонах и преимуществах ребенка с целью укрепления его самооценки;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- который помогает ребенку поверить в себя и свои способности;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- который помогает ребенку избежать ошибок;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-который поддерживает ребенка при неудачах.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Для того чтобы научиться поддерживать ребенка педагогам и родителям придется изменить привычный стиль общения и взаимодействия с ними. Вместо того чтобы обращать внимание прежде всего на ошибки и плохое поведение студента, взрослому придется сосредоточиться на позитивной стороне его поступков и поощрении того, что он делает.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Поддерживать ребенка – значит верить в него. Вербально или не вербально необходимо сообщать ему, что верят в его силы и способности. Ребенок нуждается в поддержке не только тогда, когда ему плохо, но и тогда, когда ему хорошо.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Для того чтобы поддержать ребенка, родители и педагоги сами должны испытывать уверенность, они не смогут оказывать поддержку ребенку до тех пор, пока не научатся принимать себя и не достигнут самоуважения и уверенности.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Завышенные требования родителей к ребенку сделают невозможным успех и вполне вероятным разочарование. Например, если родители прежде ожидали, что ребенок будет в </w:t>
      </w:r>
      <w:hyperlink r:id="rId5" w:history="1">
        <w:r w:rsidRPr="003600A3">
          <w:rPr>
            <w:rStyle w:val="a4"/>
            <w:color w:val="000000" w:themeColor="text1"/>
            <w:sz w:val="28"/>
            <w:szCs w:val="28"/>
            <w:u w:val="none"/>
          </w:rPr>
          <w:t>школе</w:t>
        </w:r>
      </w:hyperlink>
      <w:r w:rsidRPr="003600A3">
        <w:rPr>
          <w:color w:val="000000" w:themeColor="text1"/>
          <w:sz w:val="28"/>
          <w:szCs w:val="28"/>
        </w:rPr>
        <w:t xml:space="preserve"> «самым </w:t>
      </w:r>
      <w:proofErr w:type="spellStart"/>
      <w:r w:rsidRPr="003600A3">
        <w:rPr>
          <w:color w:val="000000" w:themeColor="text1"/>
          <w:sz w:val="28"/>
          <w:szCs w:val="28"/>
        </w:rPr>
        <w:t>способным</w:t>
      </w:r>
      <w:proofErr w:type="gramStart"/>
      <w:r w:rsidRPr="003600A3">
        <w:rPr>
          <w:color w:val="000000" w:themeColor="text1"/>
          <w:sz w:val="28"/>
          <w:szCs w:val="28"/>
        </w:rPr>
        <w:t>»,то</w:t>
      </w:r>
      <w:proofErr w:type="spellEnd"/>
      <w:proofErr w:type="gramEnd"/>
      <w:r w:rsidRPr="003600A3">
        <w:rPr>
          <w:color w:val="000000" w:themeColor="text1"/>
          <w:sz w:val="28"/>
          <w:szCs w:val="28"/>
        </w:rPr>
        <w:t xml:space="preserve"> они ожидают от него того же и в колледже.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 xml:space="preserve">Существуют ложные способы, так называемые «ловушки поддержки». Так, типичными для родителей способами поддержки ребенка являются </w:t>
      </w:r>
      <w:proofErr w:type="spellStart"/>
      <w:r w:rsidRPr="003600A3">
        <w:rPr>
          <w:color w:val="000000" w:themeColor="text1"/>
          <w:sz w:val="28"/>
          <w:szCs w:val="28"/>
        </w:rPr>
        <w:t>гиперопека</w:t>
      </w:r>
      <w:proofErr w:type="spellEnd"/>
      <w:r w:rsidRPr="003600A3">
        <w:rPr>
          <w:color w:val="000000" w:themeColor="text1"/>
          <w:sz w:val="28"/>
          <w:szCs w:val="28"/>
        </w:rPr>
        <w:t>, создание зависимости ребенка от взрослого, навязывание нереальных стандартов, стимулирование соперничества со сверстниками. Эти методы приводят только к переживаниям ребенка, мешают нормальному развитию его личности.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Подлинная поддержка взрослым ребенка должна основываться на подчеркивании его способностей возможностей – его положительных сторон. Случается, что поведение ребенка не нравится взрослому. Именно в такие моменты он должен предельно четко, что «хотя я и не одобряю твоего поведения, я по-прежнему уважаю тебя как личность». Важно, чтобы взрослый научился понимать ребенка таким, какой он есть, включая все его достижения и промахи, а в общении с ним учитывать значение таких вещей, как тон, жесты, выражение и т. п.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lastRenderedPageBreak/>
        <w:t>Центральную роль в развитии уверенности ребенка в себе играет вера родителей и педагогов в ребенка. Родитель должен показать ребенку, что он является важным членом семьи и значит для нее больше, чем связанные с ним проблемы.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Взрослые часто сосредоточены на прошлых неудачах и используют их против ребенка. Такой акцент на прошлом может породить у ребенка ощущение преследования. Ребенок может решить: «</w:t>
      </w:r>
      <w:proofErr w:type="spellStart"/>
      <w:r w:rsidRPr="003600A3">
        <w:rPr>
          <w:color w:val="000000" w:themeColor="text1"/>
          <w:sz w:val="28"/>
          <w:szCs w:val="28"/>
        </w:rPr>
        <w:t>Нетт</w:t>
      </w:r>
      <w:proofErr w:type="spellEnd"/>
      <w:r w:rsidRPr="003600A3">
        <w:rPr>
          <w:color w:val="000000" w:themeColor="text1"/>
          <w:sz w:val="28"/>
          <w:szCs w:val="28"/>
        </w:rPr>
        <w:t xml:space="preserve"> никакой возможности изменить мою репутацию, так что пусть меня считают плохим».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b/>
          <w:bCs/>
          <w:i/>
          <w:iCs/>
          <w:color w:val="000000" w:themeColor="text1"/>
          <w:sz w:val="28"/>
          <w:szCs w:val="28"/>
        </w:rPr>
        <w:t>Для того чтобы показать веру в ребенка, взрослый должен иметь мужество и желание сделать следующее: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- забыть о прошлых неудачах ребенка;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- помочь ребенку обрести уверенность в том, что он справится с данной задачей;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- позволить ребенку начать с нуля, опираясь на то, что взрослые верят в него, в его способности достичь успеха;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- помнить о прошлых неудачах и возвращаться к ним, а не к ошибкам.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Итак, для того чтобы поддержать ребенка, необходимо: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1.Опираться на сильные стороны ребенка.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2.Избегать подчеркивание промахов молодого человека.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3.Показывать, что вы удовлетворены ребенком.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4.Уметь и хотеть демонстрировать любовь и уважение к ребенку.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5.Внести юмор во </w:t>
      </w:r>
      <w:hyperlink r:id="rId6" w:history="1">
        <w:r w:rsidRPr="003600A3">
          <w:rPr>
            <w:rStyle w:val="a4"/>
            <w:color w:val="000000" w:themeColor="text1"/>
            <w:sz w:val="28"/>
            <w:szCs w:val="28"/>
            <w:u w:val="none"/>
          </w:rPr>
          <w:t>взаимоотношения</w:t>
        </w:r>
      </w:hyperlink>
      <w:r w:rsidRPr="003600A3">
        <w:rPr>
          <w:color w:val="000000" w:themeColor="text1"/>
          <w:sz w:val="28"/>
          <w:szCs w:val="28"/>
        </w:rPr>
        <w:t> с ребенком.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6.Знать обо всех попытках справиться с заданием.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7.Уметь взаимодействовать с ребенком.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8.Принимать индивидуальность ребенка.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 xml:space="preserve">9.Проявлять веру в ребенка, </w:t>
      </w:r>
      <w:proofErr w:type="spellStart"/>
      <w:r w:rsidRPr="003600A3">
        <w:rPr>
          <w:color w:val="000000" w:themeColor="text1"/>
          <w:sz w:val="28"/>
          <w:szCs w:val="28"/>
        </w:rPr>
        <w:t>эмпатию</w:t>
      </w:r>
      <w:proofErr w:type="spellEnd"/>
      <w:r w:rsidRPr="003600A3">
        <w:rPr>
          <w:color w:val="000000" w:themeColor="text1"/>
          <w:sz w:val="28"/>
          <w:szCs w:val="28"/>
        </w:rPr>
        <w:t xml:space="preserve"> к нему.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10.Демонстрировать оптимизм.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b/>
          <w:bCs/>
          <w:i/>
          <w:iCs/>
          <w:color w:val="000000" w:themeColor="text1"/>
          <w:sz w:val="28"/>
          <w:szCs w:val="28"/>
        </w:rPr>
        <w:t>Существуют слова, которые поддерживают ребенка, и слова, которые разрушают его веру в себя. Например, слова поддержки: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-Зная тебя, я уверен, что ты все сделаешь хорошо.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-Ты делаешь это очень хорошо.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-Это серьезный вызов, но я уверен, что ты готов к нему.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Слова разочарования: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-Зная тебя и твои способности, я думаю, ты смог бы сделать это гораздо лучше.</w:t>
      </w:r>
    </w:p>
    <w:p w:rsidR="003600A3" w:rsidRPr="003600A3" w:rsidRDefault="003600A3" w:rsidP="003600A3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600A3">
        <w:rPr>
          <w:color w:val="000000" w:themeColor="text1"/>
          <w:sz w:val="28"/>
          <w:szCs w:val="28"/>
        </w:rPr>
        <w:t>Психологическая поддержка основана на том, чтобы помочь ребенку почувствовать свою нужность. Таким образом детям просто необходима ваша поддержка.</w:t>
      </w:r>
    </w:p>
    <w:p w:rsidR="00111D23" w:rsidRPr="003600A3" w:rsidRDefault="00111D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11D23" w:rsidRPr="0036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2B"/>
    <w:rsid w:val="00111D23"/>
    <w:rsid w:val="003600A3"/>
    <w:rsid w:val="0077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ACBD5-78D2-4E3A-923E-E24A04C9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0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pandia.ru%2Ftext%2Fcategory%2Fvzaimootnoshenie%2F" TargetMode="External"/><Relationship Id="rId5" Type="http://schemas.openxmlformats.org/officeDocument/2006/relationships/hyperlink" Target="https://infourok.ru/go.html?href=http%3A%2F%2Fpandia.ru%2Ftext%2Fcateg%2Fwiki%2F001%2F83.php" TargetMode="External"/><Relationship Id="rId4" Type="http://schemas.openxmlformats.org/officeDocument/2006/relationships/hyperlink" Target="https://infourok.ru/go.html?href=http%3A%2F%2Fpandia.ru%2Ftext%2Fcateg%2Fwiki%2F001%2F21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3911</Characters>
  <Application>Microsoft Office Word</Application>
  <DocSecurity>0</DocSecurity>
  <Lines>32</Lines>
  <Paragraphs>9</Paragraphs>
  <ScaleCrop>false</ScaleCrop>
  <Company>Hewlett-Packard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2</cp:revision>
  <dcterms:created xsi:type="dcterms:W3CDTF">2020-09-28T08:40:00Z</dcterms:created>
  <dcterms:modified xsi:type="dcterms:W3CDTF">2020-09-28T08:42:00Z</dcterms:modified>
</cp:coreProperties>
</file>